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2BE" w:rsidRDefault="00A262BE" w:rsidP="00A262BE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Заключение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Об оценке </w:t>
      </w:r>
      <w:proofErr w:type="gramStart"/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применения обязательных требований решения Совета депутатов</w:t>
      </w:r>
      <w:r w:rsidR="00C52F6D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Искровского сельсовета</w:t>
      </w:r>
      <w:proofErr w:type="gramEnd"/>
      <w:r w:rsidR="00C52F6D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Черепановского района Новосибирской области от </w:t>
      </w:r>
      <w:r w:rsidR="00C52F6D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09.03.2023 г. №1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"О Правилах по благоустройству территории </w:t>
      </w:r>
      <w:r w:rsidR="00C52F6D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Искровского сельсовета 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Черепановского района Новосибирской области"</w:t>
      </w:r>
    </w:p>
    <w:p w:rsidR="00A262BE" w:rsidRDefault="00C52F6D" w:rsidP="00BD040F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09.03.2024 г.</w:t>
      </w:r>
      <w:r w:rsidR="00A262BE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           </w:t>
      </w:r>
      <w:r w:rsidR="00A262BE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     № 1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1. Выводы по результатам оценке применения обязательных требований: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1.1.  О достижении/недостижении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Решение Совета депутатов 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Искровского сельсовета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Черепановского района Новосибирской области от 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09.03.2023г. № 1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"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Об утверждении правил 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по благоустройству территории 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Искровского сельсовета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Черепановского района Новосибирской области» (дале</w:t>
      </w:r>
      <w:proofErr w:type="gramStart"/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е-</w:t>
      </w:r>
      <w:proofErr w:type="gramEnd"/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Правила) принято в целях установления единых для муниципального образования требований к благоустройству муниципального образования.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Единые требования выражаются в следующем: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571"/>
      </w:tblGrid>
      <w:tr w:rsidR="00A262BE" w:rsidTr="00A262BE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проектированию элементов инженерной подготовки и защиты территории;</w:t>
            </w:r>
          </w:p>
        </w:tc>
      </w:tr>
      <w:tr w:rsidR="00A262BE" w:rsidTr="00A262BE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озеленению территорий;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элементам сопряжения поверхностей;</w:t>
            </w:r>
          </w:p>
        </w:tc>
      </w:tr>
      <w:tr w:rsidR="00A262BE" w:rsidTr="00A262BE">
        <w:trPr>
          <w:trHeight w:val="16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проектированию ограждений;</w:t>
            </w:r>
          </w:p>
        </w:tc>
      </w:tr>
      <w:tr w:rsidR="00A262BE" w:rsidTr="00A262BE">
        <w:trPr>
          <w:trHeight w:val="14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малым архитектурным формам;</w:t>
            </w:r>
          </w:p>
        </w:tc>
      </w:tr>
      <w:tr w:rsidR="00A262BE" w:rsidTr="00A262BE">
        <w:trPr>
          <w:trHeight w:val="14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игровому и спортивному оборудованию;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освещению и осветительным приборам;</w:t>
            </w:r>
          </w:p>
        </w:tc>
      </w:tr>
      <w:tr w:rsidR="00A262BE" w:rsidTr="00A262BE">
        <w:trPr>
          <w:trHeight w:val="16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размещению средств наружной рекламы и информации на территории населенного пункта;</w:t>
            </w:r>
          </w:p>
        </w:tc>
      </w:tr>
      <w:tr w:rsidR="00A262BE" w:rsidTr="00A262BE">
        <w:trPr>
          <w:trHeight w:val="127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некапитальным нестационарным сооружениям;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оформлению и оборудованию зданий и сооружений;</w:t>
            </w:r>
          </w:p>
        </w:tc>
      </w:tr>
      <w:tr w:rsidR="00A262BE" w:rsidTr="00A262BE">
        <w:trPr>
          <w:trHeight w:val="16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требование к проектированию и размещению площадок;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пешеходным коммуникациям;</w:t>
            </w:r>
          </w:p>
        </w:tc>
      </w:tr>
      <w:tr w:rsidR="00A262BE" w:rsidTr="00A262BE">
        <w:trPr>
          <w:trHeight w:val="11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транспортным проездам;</w:t>
            </w:r>
          </w:p>
        </w:tc>
      </w:tr>
      <w:tr w:rsidR="00A262BE" w:rsidTr="00A262BE">
        <w:trPr>
          <w:trHeight w:val="97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101010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общественных пространств;</w:t>
            </w:r>
          </w:p>
        </w:tc>
      </w:tr>
      <w:tr w:rsidR="00A262BE" w:rsidTr="00A262BE">
        <w:trPr>
          <w:trHeight w:val="18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участков и специализированных зон общественной застройки;</w:t>
            </w:r>
          </w:p>
        </w:tc>
      </w:tr>
      <w:tr w:rsidR="00A262BE" w:rsidTr="00A262BE">
        <w:trPr>
          <w:trHeight w:val="14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общественных пространств на территориях жилого назначения;</w:t>
            </w:r>
          </w:p>
        </w:tc>
      </w:tr>
      <w:tr w:rsidR="00A262BE" w:rsidTr="00A262BE">
        <w:trPr>
          <w:trHeight w:val="16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lastRenderedPageBreak/>
              <w:t>- требования к благоустройству участков жилой застройки;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участков детских садов и школ;</w:t>
            </w:r>
          </w:p>
        </w:tc>
      </w:tr>
      <w:tr w:rsidR="00A262BE" w:rsidTr="00A262BE">
        <w:trPr>
          <w:trHeight w:val="127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участков длительного и кратковременного хранения автотранспортных средств; 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на территориях рекреационного назначения;</w:t>
            </w:r>
          </w:p>
        </w:tc>
      </w:tr>
      <w:tr w:rsidR="00A262BE" w:rsidTr="00A262BE">
        <w:trPr>
          <w:trHeight w:val="16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зон отдыха;</w:t>
            </w:r>
          </w:p>
        </w:tc>
      </w:tr>
      <w:tr w:rsidR="00A262BE" w:rsidTr="00A262BE">
        <w:trPr>
          <w:trHeight w:val="14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проектированию парков жилых районов;</w:t>
            </w:r>
          </w:p>
        </w:tc>
      </w:tr>
      <w:tr w:rsidR="00A262BE" w:rsidTr="00A262BE">
        <w:trPr>
          <w:trHeight w:val="16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садов;</w:t>
            </w:r>
          </w:p>
        </w:tc>
      </w:tr>
      <w:tr w:rsidR="00A262BE" w:rsidTr="00A262BE">
        <w:trPr>
          <w:trHeight w:val="127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требование к благоустройству скверов;</w:t>
            </w:r>
          </w:p>
        </w:tc>
      </w:tr>
      <w:tr w:rsidR="00A262BE" w:rsidTr="00A262BE">
        <w:trPr>
          <w:trHeight w:val="18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озеленению санитарно-защитных зон территорий производственного назначения;</w:t>
            </w:r>
          </w:p>
        </w:tc>
      </w:tr>
      <w:tr w:rsidR="00A262BE" w:rsidTr="00A262BE">
        <w:trPr>
          <w:trHeight w:val="329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на территориях транспортных коммуникаций;</w:t>
            </w:r>
          </w:p>
        </w:tc>
      </w:tr>
      <w:tr w:rsidR="00A262BE" w:rsidTr="00A262BE">
        <w:trPr>
          <w:trHeight w:val="127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улиц и дорог;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благоустройству площадок;</w:t>
            </w:r>
          </w:p>
        </w:tc>
      </w:tr>
      <w:tr w:rsidR="00A262BE" w:rsidTr="00A262BE">
        <w:trPr>
          <w:trHeight w:val="19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пешеходным переходам;</w:t>
            </w:r>
          </w:p>
        </w:tc>
      </w:tr>
      <w:tr w:rsidR="00A262BE" w:rsidTr="00A262BE">
        <w:trPr>
          <w:trHeight w:val="264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уборке территорий;</w:t>
            </w:r>
          </w:p>
        </w:tc>
      </w:tr>
      <w:tr w:rsidR="00A262BE" w:rsidTr="00A262BE">
        <w:trPr>
          <w:trHeight w:val="19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уборке территории в весенне-летний период;</w:t>
            </w:r>
          </w:p>
        </w:tc>
      </w:tr>
      <w:tr w:rsidR="00A262BE" w:rsidTr="00A262BE">
        <w:trPr>
          <w:trHeight w:val="16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уборке в осенне-зимний период;</w:t>
            </w:r>
          </w:p>
        </w:tc>
      </w:tr>
      <w:tr w:rsidR="00A262BE" w:rsidTr="00A262BE">
        <w:trPr>
          <w:trHeight w:val="18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содержанию элементов благоустройства;</w:t>
            </w:r>
          </w:p>
        </w:tc>
      </w:tr>
      <w:tr w:rsidR="00A262BE" w:rsidTr="00A262BE">
        <w:trPr>
          <w:trHeight w:val="127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работам по озеленению территорий и содержанию зеленых насаждений;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содержанию и эксплуатации дорог;</w:t>
            </w:r>
          </w:p>
        </w:tc>
      </w:tr>
      <w:tr w:rsidR="00A262BE" w:rsidTr="00A262BE">
        <w:trPr>
          <w:trHeight w:val="11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освещению территорий;</w:t>
            </w:r>
          </w:p>
        </w:tc>
      </w:tr>
      <w:tr w:rsidR="00A262BE" w:rsidTr="00A262BE">
        <w:trPr>
          <w:trHeight w:val="14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проведению</w:t>
            </w:r>
            <w:r>
              <w:rPr>
                <w:rFonts w:ascii="Times New Roman" w:eastAsia="Times New Roman" w:hAnsi="Times New Roman" w:cs="Times New Roman"/>
                <w:b/>
                <w:bCs/>
                <w:color w:val="101010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работ при строительстве, ремонте, реконструкции коммуникаций;</w:t>
            </w:r>
          </w:p>
        </w:tc>
      </w:tr>
      <w:tr w:rsidR="00A262BE" w:rsidTr="00A262BE">
        <w:trPr>
          <w:trHeight w:val="165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доступности сельской среды;</w:t>
            </w:r>
          </w:p>
        </w:tc>
      </w:tr>
      <w:tr w:rsidR="00A262BE" w:rsidTr="00A262BE">
        <w:trPr>
          <w:trHeight w:val="150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праздничному оформлению территории поселения;</w:t>
            </w:r>
          </w:p>
        </w:tc>
      </w:tr>
      <w:tr w:rsidR="00A262BE" w:rsidTr="00A262BE">
        <w:trPr>
          <w:trHeight w:val="14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формам и механизмам общественного участия в принятии решений и реализации проектов комплексного благоустройства и развития городской среды;</w:t>
            </w:r>
          </w:p>
        </w:tc>
      </w:tr>
      <w:tr w:rsidR="00A262BE" w:rsidTr="00A262BE">
        <w:trPr>
          <w:trHeight w:val="82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организации общественного соучастия;</w:t>
            </w:r>
          </w:p>
        </w:tc>
      </w:tr>
      <w:tr w:rsidR="00A262BE" w:rsidTr="00A262BE">
        <w:trPr>
          <w:trHeight w:val="127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8"/>
                <w:szCs w:val="28"/>
                <w:lang w:eastAsia="ru-RU"/>
              </w:rPr>
              <w:t>- требования к порядку определения границ прилегающих территорий, содержанию прилегающих территорий.</w:t>
            </w:r>
          </w:p>
        </w:tc>
      </w:tr>
    </w:tbl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При осуществлении контроля за исполнением Правил администрация муниципального образования вправе: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- выявлять факты нарушения обязательных требований;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101010"/>
          <w:spacing w:val="-5"/>
          <w:sz w:val="28"/>
          <w:szCs w:val="28"/>
          <w:lang w:eastAsia="ru-RU"/>
        </w:rPr>
        <w:t>привлекать к </w:t>
      </w:r>
      <w:r>
        <w:rPr>
          <w:rFonts w:ascii="Times New Roman" w:eastAsia="Times New Roman" w:hAnsi="Times New Roman" w:cs="Times New Roman"/>
          <w:color w:val="101010"/>
          <w:spacing w:val="6"/>
          <w:sz w:val="28"/>
          <w:szCs w:val="28"/>
          <w:lang w:eastAsia="ru-RU"/>
        </w:rPr>
        <w:t>ответственности в порядке, установленном действующим </w:t>
      </w:r>
      <w:r>
        <w:rPr>
          <w:rFonts w:ascii="Times New Roman" w:eastAsia="Times New Roman" w:hAnsi="Times New Roman" w:cs="Times New Roman"/>
          <w:color w:val="101010"/>
          <w:spacing w:val="-8"/>
          <w:sz w:val="28"/>
          <w:szCs w:val="28"/>
          <w:lang w:eastAsia="ru-RU"/>
        </w:rPr>
        <w:t>законодательством.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lastRenderedPageBreak/>
        <w:t>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01"/>
        <w:gridCol w:w="3420"/>
        <w:gridCol w:w="5450"/>
      </w:tblGrid>
      <w:tr w:rsidR="00A262BE" w:rsidTr="00A262B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Принципы установления и оценки ОТ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Соблюден (не соблюден)</w:t>
            </w:r>
          </w:p>
        </w:tc>
      </w:tr>
      <w:tr w:rsidR="00A262BE" w:rsidTr="00A262B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Законность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соблюден</w:t>
            </w:r>
          </w:p>
        </w:tc>
      </w:tr>
      <w:tr w:rsidR="00A262BE" w:rsidTr="00A262B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Обоснованность обязательных требований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соблюден</w:t>
            </w:r>
          </w:p>
        </w:tc>
      </w:tr>
      <w:tr w:rsidR="00A262BE" w:rsidTr="00A262B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Правовая определенность и системность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соблюден</w:t>
            </w:r>
          </w:p>
        </w:tc>
      </w:tr>
      <w:tr w:rsidR="00A262BE" w:rsidTr="00A262B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Открытость и предсказуемость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не соблюден в части строка действия (отсутствует), в остальной части соблюден</w:t>
            </w:r>
          </w:p>
        </w:tc>
      </w:tr>
      <w:tr w:rsidR="00A262BE" w:rsidTr="00A262B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Исполнимость обязательных требований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62BE" w:rsidRDefault="00A262BE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10101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01010"/>
                <w:sz w:val="24"/>
                <w:szCs w:val="24"/>
                <w:lang w:eastAsia="ru-RU"/>
              </w:rPr>
              <w:t>соблюден</w:t>
            </w:r>
          </w:p>
        </w:tc>
      </w:tr>
    </w:tbl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A262BE" w:rsidRDefault="00A262BE" w:rsidP="00A262BE">
      <w:pPr>
        <w:shd w:val="clear" w:color="auto" w:fill="FFFFFF"/>
        <w:spacing w:after="100" w:afterAutospacing="1" w:line="240" w:lineRule="auto"/>
        <w:ind w:firstLine="567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Решение Совета депутатов 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Искровского сельсовета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Черепановского района Новосибирской области от 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09.03.2024г. №1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"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Об утверждении правил 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по благоустройству территории рабочего 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Искровского сельсовета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Черепановского района Новосибирской области", срок действия в соответствии со ст.3 Федерального закона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 31 июля 2020 г. N 247-ФЗ "Об обязательных требованиях в Российской Федерации" не имеет, основания для прекращения отсутствуют.</w:t>
      </w:r>
      <w:proofErr w:type="gramEnd"/>
    </w:p>
    <w:p w:rsidR="00A262BE" w:rsidRDefault="00A262BE" w:rsidP="00A262BE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</w:t>
      </w:r>
    </w:p>
    <w:p w:rsidR="00A2107B" w:rsidRDefault="00A262BE" w:rsidP="00A2107B">
      <w:pPr>
        <w:shd w:val="clear" w:color="auto" w:fill="FFFFFF"/>
        <w:spacing w:after="0" w:line="240" w:lineRule="auto"/>
        <w:ind w:right="-16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Специалист администрации </w:t>
      </w:r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                                                    </w:t>
      </w:r>
      <w:proofErr w:type="spellStart"/>
      <w:r w:rsidR="00A2107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О.И.Сумарукова</w:t>
      </w:r>
      <w:proofErr w:type="spellEnd"/>
    </w:p>
    <w:p w:rsidR="00A2107B" w:rsidRDefault="00A2107B" w:rsidP="00A2107B">
      <w:pPr>
        <w:shd w:val="clear" w:color="auto" w:fill="FFFFFF"/>
        <w:spacing w:after="0" w:line="240" w:lineRule="auto"/>
        <w:ind w:right="-16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Искровского сельсовета </w:t>
      </w:r>
    </w:p>
    <w:p w:rsidR="00A2107B" w:rsidRDefault="00A2107B" w:rsidP="00A2107B">
      <w:pPr>
        <w:shd w:val="clear" w:color="auto" w:fill="FFFFFF"/>
        <w:spacing w:after="0" w:line="240" w:lineRule="auto"/>
        <w:ind w:right="-16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Черепановского района </w:t>
      </w:r>
    </w:p>
    <w:p w:rsidR="00A262BE" w:rsidRDefault="00A2107B" w:rsidP="00A2107B">
      <w:pPr>
        <w:shd w:val="clear" w:color="auto" w:fill="FFFFFF"/>
        <w:spacing w:after="0" w:line="240" w:lineRule="auto"/>
        <w:ind w:right="-16"/>
        <w:jc w:val="both"/>
        <w:rPr>
          <w:rFonts w:ascii="Times New Roman" w:eastAsia="Times New Roman" w:hAnsi="Times New Roman" w:cs="Times New Roman"/>
          <w:color w:val="10101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Новосибирской области</w:t>
      </w:r>
      <w:r w:rsidR="00A262BE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     </w:t>
      </w:r>
      <w:bookmarkStart w:id="0" w:name="_GoBack"/>
      <w:bookmarkEnd w:id="0"/>
      <w:r w:rsidR="00A262BE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  </w:t>
      </w:r>
      <w:r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                                        </w:t>
      </w:r>
      <w:r w:rsidR="00A262BE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          </w:t>
      </w:r>
    </w:p>
    <w:p w:rsidR="00A262BE" w:rsidRDefault="00A262BE" w:rsidP="00A262BE"/>
    <w:p w:rsidR="00703A31" w:rsidRDefault="00703A31"/>
    <w:sectPr w:rsidR="00703A31" w:rsidSect="008F73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3A31"/>
    <w:rsid w:val="00703A31"/>
    <w:rsid w:val="008F731F"/>
    <w:rsid w:val="00A2107B"/>
    <w:rsid w:val="00A262BE"/>
    <w:rsid w:val="00BD040F"/>
    <w:rsid w:val="00C52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2B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777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4</cp:revision>
  <dcterms:created xsi:type="dcterms:W3CDTF">2024-10-02T03:25:00Z</dcterms:created>
  <dcterms:modified xsi:type="dcterms:W3CDTF">2024-11-14T03:36:00Z</dcterms:modified>
</cp:coreProperties>
</file>