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A" w:rsidRPr="00D2798A" w:rsidRDefault="00D2798A" w:rsidP="00D2798A">
      <w:pPr>
        <w:shd w:val="clear" w:color="auto" w:fill="FFFFFF"/>
        <w:spacing w:after="240" w:line="365" w:lineRule="atLeast"/>
        <w:ind w:left="57" w:right="57"/>
        <w:outlineLvl w:val="1"/>
        <w:rPr>
          <w:rFonts w:ascii="Arial" w:eastAsia="Times New Roman" w:hAnsi="Arial" w:cs="Arial"/>
          <w:caps/>
          <w:color w:val="222222"/>
          <w:sz w:val="30"/>
          <w:szCs w:val="30"/>
          <w:lang w:eastAsia="ru-RU"/>
        </w:rPr>
      </w:pPr>
      <w:bookmarkStart w:id="0" w:name="_GoBack"/>
      <w:r w:rsidRPr="00D2798A">
        <w:rPr>
          <w:rFonts w:ascii="Arial" w:eastAsia="Times New Roman" w:hAnsi="Arial" w:cs="Arial"/>
          <w:caps/>
          <w:color w:val="222222"/>
          <w:sz w:val="30"/>
          <w:szCs w:val="30"/>
          <w:lang w:eastAsia="ru-RU"/>
        </w:rPr>
        <w:t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 В ОБЛАСТИ ЭНЕРГОСБЕРЕЖЕНИЯ</w:t>
      </w:r>
    </w:p>
    <w:bookmarkEnd w:id="0"/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jc w:val="center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ИНФОРМАЦИЯ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по исполнению Федерального закона № 261 от 23.11.2009 г. 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jc w:val="center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noProof/>
          <w:color w:val="222222"/>
          <w:sz w:val="25"/>
          <w:szCs w:val="25"/>
          <w:lang w:eastAsia="ru-RU"/>
        </w:rPr>
        <w:drawing>
          <wp:inline distT="0" distB="0" distL="0" distR="0" wp14:anchorId="5FEE7CD8" wp14:editId="5B385C5C">
            <wp:extent cx="2514600" cy="2514600"/>
            <wp:effectExtent l="0" t="0" r="0" b="0"/>
            <wp:docPr id="1" name="Рисунок 1" descr="http://kavalerskoesp.ru/images/ene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valerskoesp.ru/images/ener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Обязательна ли установка приборов учёта энергоресурсов?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В какие сроки необходимо установить приборы учета энергоресурсов?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 1 января 2012 г. вводимые в эксплуатацию и реконструируемые многоквартирные жилые дома должны оснащаться индивидуальными теплосчётчиками в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квартирах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.С</w:t>
      </w:r>
      <w:proofErr w:type="spellEnd"/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Кто должен оплачивать установку приборов учёта?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приборов учёта.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общедомовой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Задача управляющей компании или правления ТСЖ, ЖСК –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энергоснабжающей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Какую выгоду получит потребитель при установке прибора учета?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,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Вышеуказанные Правила предоставления коммунальных услуг гражданам утратят 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Есть ли исключения из требований по установке приборов учета?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тепловой 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энергии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которых составляет менее чем две десятых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гигакалории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в час (в отношении организации учета используемой тепловой энергии).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Кто имеет право устанавливать приборы учёта энергоресурсов?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До 1 июля 2010 г.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энергоснабжающие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ресурсоснабжающая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 целях 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исключения случаев бесконтрольного демонтажа прибора учета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Необходимо отметить, что поскольку ввод прибора учета в эксплуатацию может 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Какую ответственность несут собственники за отказ от установки приборов учёта?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энергоснабжающая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Ресурсоснабжающие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не вправе отказать обратившимся к ним лицам в заключени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и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 xml:space="preserve">Кто осуществляет </w:t>
      </w:r>
      <w:proofErr w:type="gramStart"/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контроль за</w:t>
      </w:r>
      <w:proofErr w:type="gramEnd"/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 xml:space="preserve"> соблюдением обязанностей по установке приборов учёта энергоресурсов?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Контроль за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Ростехнадзор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) и их территориальные органы в субъектах РФ.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Предусмотрены ли штрафные санкции за не соблюдение обязанностей по установке приборов учёта энергоресурсов?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предусмотрены. Законом об энергосбережении (статья 37) внесены поправки в Кодекс Российской Федерации об административных правонарушениях (КоАП).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– штраф на должностных лиц от 20 до 30 тыс. руб., на организацию от 500 до 600 тыс. руб.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Штраф на должностных лиц от 20 до 30 тыс. руб., на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100 до 150 тыс. руб.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требований об установке, замене, эксплуатации приборов учёта используемых энергетических ресурсов – штраф на должностных лиц от 20 до 30 тыс. рублей; 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на ИП – от 20 до 30 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тыс. руб.; на юридических лиц – от 50 до 100 тыс. руб.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Несоблюдение требований об оснащении жилого дома приборами учёта лицами, ответственными за содержание многоквартирных домов – штраф на ответственное лицо от 10 до 15 тыс. руб., на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20 до 30 тыс. руб.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Несоблюдение требований об оснащении нежилых зданий, строений, сооружений приборами учёта лицами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, 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ответственными за их содержание – штраф на должностных лиц от 10 до 15 тыс. руб., на ИП от 25 до 35 тыс. руб., на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100 до 150 тыс. руб.</w:t>
      </w:r>
      <w:proofErr w:type="gramEnd"/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Кто осуществляет техническое обслуживание и ремонт приборов учёта?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энергоснабжающая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организация, управляющая компания).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Кто осуществляет и оплачивает поверку приборов учёта?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поверка</w:t>
      </w:r>
      <w:proofErr w:type="gram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оплачивается из собственных средств собственника.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Суть метрологической поверки заключается в испытаниях прибора учёта на более точном оборудовании.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Периодичность поверки указана в паспорте на прибор учёта.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Межповерочный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– 6 лет.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Каковы последствия эксплуатации непроверенных приборов?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D2798A" w:rsidRPr="00D2798A" w:rsidRDefault="00D2798A" w:rsidP="00D2798A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D2798A">
        <w:rPr>
          <w:rFonts w:ascii="inherit" w:eastAsia="Times New Roman" w:hAnsi="inherit" w:cs="Arial"/>
          <w:b/>
          <w:bCs/>
          <w:color w:val="222222"/>
          <w:sz w:val="25"/>
          <w:szCs w:val="25"/>
          <w:lang w:eastAsia="ru-RU"/>
        </w:rPr>
        <w:t>Какие приборы учёта энергии можно применять?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Следует устанавливать только те приборы учёта, которые включены в 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государственный реестр средств измерений и допущенные к применению на территории Российской Федерации.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Однако даже включение прибора в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Госреестр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теплопотребляющим</w:t>
      </w:r>
      <w:proofErr w:type="spellEnd"/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 w:rsidRPr="00D2798A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–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82397D" w:rsidRDefault="0082397D"/>
    <w:sectPr w:rsidR="0082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8A"/>
    <w:rsid w:val="0082397D"/>
    <w:rsid w:val="00D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2174</Words>
  <Characters>12398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2022-01-25T04:30:00Z</dcterms:created>
  <dcterms:modified xsi:type="dcterms:W3CDTF">2022-01-25T04:32:00Z</dcterms:modified>
</cp:coreProperties>
</file>